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0D47E72D" w:rsidR="001A4E71" w:rsidRPr="0041094F" w:rsidRDefault="00275EBB" w:rsidP="00567217">
            <w:r>
              <w:t xml:space="preserve">OÜ </w:t>
            </w:r>
            <w:proofErr w:type="spellStart"/>
            <w:r>
              <w:t>Starforest</w:t>
            </w:r>
            <w:proofErr w:type="spellEnd"/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A7C55B6" w:rsidR="001A4E71" w:rsidRPr="0041094F" w:rsidRDefault="00275EBB" w:rsidP="00567217">
            <w:r>
              <w:t>10503699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187870E5" w:rsidR="001A4E71" w:rsidRPr="0041094F" w:rsidRDefault="00275EBB" w:rsidP="00567217">
            <w:r>
              <w:t>Pärnu Tallinna mnt.99a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0720536" w:rsidR="001A4E71" w:rsidRPr="0041094F" w:rsidRDefault="00275EBB" w:rsidP="00567217">
            <w:r>
              <w:t>Gunnar Soodla  gunnar@starforest.ee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B03A938" w:rsidR="001A4E71" w:rsidRPr="0041094F" w:rsidRDefault="00275EB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Nr.15171 Laupa-Suurejõe 5,5-5,6 km paremal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7FD1AB23" w:rsidR="001A4E71" w:rsidRPr="0041094F" w:rsidRDefault="00275EB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Kangru </w:t>
            </w:r>
            <w:proofErr w:type="spellStart"/>
            <w:r>
              <w:rPr>
                <w:lang w:val="et-EE"/>
              </w:rPr>
              <w:t>mü</w:t>
            </w:r>
            <w:proofErr w:type="spellEnd"/>
            <w:r>
              <w:rPr>
                <w:lang w:val="et-EE"/>
              </w:rPr>
              <w:t xml:space="preserve"> 83501:001:0258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6A429337" w:rsidR="001A4E71" w:rsidRPr="0041094F" w:rsidRDefault="00275EBB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Ca 300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51DD3851" w:rsidR="001A4E71" w:rsidRPr="0041094F" w:rsidRDefault="00275EB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19.02 kuni 29.02.2024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29B605EE" w:rsidR="001A4E71" w:rsidRPr="0041094F" w:rsidRDefault="00275EB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19.02 kuni 29.02.2024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470E4737" w:rsidR="001A4E71" w:rsidRPr="0041094F" w:rsidRDefault="00275EBB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05.03.2024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4C939FDC" w:rsidR="001A4E71" w:rsidRPr="0041094F" w:rsidRDefault="00275EBB" w:rsidP="00567217">
            <w:pPr>
              <w:rPr>
                <w:sz w:val="22"/>
              </w:rPr>
            </w:pPr>
            <w:r>
              <w:rPr>
                <w:sz w:val="22"/>
              </w:rPr>
              <w:t>Gunnar Soodla</w:t>
            </w:r>
            <w:bookmarkStart w:id="0" w:name="_GoBack"/>
            <w:bookmarkEnd w:id="0"/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F60F71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F60F71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115BC431" w:rsidR="001A4E71" w:rsidRPr="0041094F" w:rsidRDefault="001A4E71" w:rsidP="00275EBB">
            <w:r w:rsidRPr="0041094F">
              <w:t xml:space="preserve"> </w:t>
            </w:r>
            <w:r w:rsidR="00275EBB">
              <w:t>16.02.2024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356EF" w14:textId="77777777" w:rsidR="00F60F71" w:rsidRDefault="00F60F71" w:rsidP="00C03981">
      <w:r>
        <w:separator/>
      </w:r>
    </w:p>
  </w:endnote>
  <w:endnote w:type="continuationSeparator" w:id="0">
    <w:p w14:paraId="22540460" w14:textId="77777777" w:rsidR="00F60F71" w:rsidRDefault="00F60F7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AE90D" w14:textId="77777777" w:rsidR="00F60F71" w:rsidRDefault="00F60F71" w:rsidP="00C03981">
      <w:r>
        <w:separator/>
      </w:r>
    </w:p>
  </w:footnote>
  <w:footnote w:type="continuationSeparator" w:id="0">
    <w:p w14:paraId="23DE982D" w14:textId="77777777" w:rsidR="00F60F71" w:rsidRDefault="00F60F7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275EB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275EB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275EBB"/>
    <w:rsid w:val="004F60CB"/>
    <w:rsid w:val="00567217"/>
    <w:rsid w:val="00597994"/>
    <w:rsid w:val="00A76984"/>
    <w:rsid w:val="00AC320C"/>
    <w:rsid w:val="00C03981"/>
    <w:rsid w:val="00C17404"/>
    <w:rsid w:val="00F60F71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Aarne Annamaa</cp:lastModifiedBy>
  <cp:revision>2</cp:revision>
  <dcterms:created xsi:type="dcterms:W3CDTF">2024-02-16T10:40:00Z</dcterms:created>
  <dcterms:modified xsi:type="dcterms:W3CDTF">2024-02-16T10:40:00Z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